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35135ED" w:rsidR="008703C3" w:rsidRDefault="009022F1" w:rsidP="00D908BA">
      <w:pPr>
        <w:pStyle w:val="Kop1"/>
        <w:numPr>
          <w:ilvl w:val="0"/>
          <w:numId w:val="0"/>
        </w:numPr>
        <w:ind w:left="720" w:hanging="360"/>
      </w:pPr>
      <w:r>
        <w:t>Onderdelen</w:t>
      </w:r>
      <w:r>
        <w:t xml:space="preserve"> van een duurzaam inkoopbeleid</w:t>
      </w:r>
    </w:p>
    <w:p w14:paraId="421C17F5" w14:textId="1EC135FB" w:rsidR="00D908BA" w:rsidRDefault="00D908BA" w:rsidP="00D908BA">
      <w:bookmarkStart w:id="0" w:name="_heading=h.gjdgxs" w:colFirst="0" w:colLast="0"/>
      <w:bookmarkEnd w:id="0"/>
      <w:r>
        <w:t xml:space="preserve">NB. </w:t>
      </w:r>
      <w:r>
        <w:t xml:space="preserve">Dit </w:t>
      </w:r>
      <w:r>
        <w:t xml:space="preserve">document past bij </w:t>
      </w:r>
      <w:r>
        <w:t xml:space="preserve">eis 2.1.10.2 van </w:t>
      </w:r>
      <w:r>
        <w:t xml:space="preserve">de Milieuthermometer Zorg. </w:t>
      </w:r>
    </w:p>
    <w:p w14:paraId="4BC5F918" w14:textId="1FB3A515" w:rsidR="00D908BA" w:rsidRPr="00D908BA" w:rsidRDefault="00D908BA" w:rsidP="00D908BA">
      <w:pPr>
        <w:rPr>
          <w:i/>
        </w:rPr>
      </w:pPr>
      <w:r w:rsidRPr="00D908BA">
        <w:rPr>
          <w:i/>
        </w:rPr>
        <w:t>Eis: De instelling heeft een inkoopbeleid voor duurzame en circulaire producten en duurzame Leveranciers. In het inkoopbeleid van de instelling is vastgelegd dat milieueisen worden toegepast bij de inkoop van zowel facilitaire als medische producten en diensten.</w:t>
      </w:r>
    </w:p>
    <w:p w14:paraId="0003A9FD" w14:textId="77777777" w:rsidR="00D908BA" w:rsidRDefault="00D908BA"/>
    <w:p w14:paraId="00000002" w14:textId="24309C79" w:rsidR="008703C3" w:rsidRDefault="00D908BA">
      <w:pPr>
        <w:rPr>
          <w:i/>
        </w:rPr>
      </w:pPr>
      <w:r>
        <w:t>Een nieuw inkoopbeleid</w:t>
      </w:r>
      <w:r w:rsidR="009022F1">
        <w:t xml:space="preserve"> of </w:t>
      </w:r>
      <w:r>
        <w:t>een</w:t>
      </w:r>
      <w:r w:rsidR="009022F1">
        <w:t xml:space="preserve"> duurzaamheidsparagraaf in een bestaand inkoopbeleid bevat minimaal de onderstaande drie onderdelen</w:t>
      </w:r>
      <w:r>
        <w:t>:</w:t>
      </w:r>
      <w:r w:rsidR="009022F1">
        <w:rPr>
          <w:i/>
        </w:rPr>
        <w:t xml:space="preserve"> </w:t>
      </w:r>
    </w:p>
    <w:p w14:paraId="00000003" w14:textId="77777777" w:rsidR="008703C3" w:rsidRDefault="008703C3" w:rsidP="00D908BA">
      <w:pPr>
        <w:pStyle w:val="Kop2"/>
        <w:numPr>
          <w:ilvl w:val="0"/>
          <w:numId w:val="0"/>
        </w:numPr>
        <w:ind w:left="907"/>
      </w:pPr>
    </w:p>
    <w:p w14:paraId="00000004" w14:textId="09D50031" w:rsidR="008703C3" w:rsidRDefault="009022F1" w:rsidP="00D908BA">
      <w:pPr>
        <w:pStyle w:val="Kop2"/>
        <w:numPr>
          <w:ilvl w:val="0"/>
          <w:numId w:val="2"/>
        </w:numPr>
      </w:pPr>
      <w:r>
        <w:t>Ambitie</w:t>
      </w:r>
    </w:p>
    <w:p w14:paraId="00000005" w14:textId="77777777" w:rsidR="008703C3" w:rsidRDefault="009022F1" w:rsidP="009022F1">
      <w:pPr>
        <w:numPr>
          <w:ilvl w:val="0"/>
          <w:numId w:val="11"/>
        </w:numPr>
        <w:pBdr>
          <w:top w:val="nil"/>
          <w:left w:val="nil"/>
          <w:bottom w:val="nil"/>
          <w:right w:val="nil"/>
          <w:between w:val="nil"/>
        </w:pBdr>
        <w:ind w:left="720"/>
        <w:rPr>
          <w:b/>
          <w:color w:val="000000"/>
        </w:rPr>
      </w:pPr>
      <w:r>
        <w:rPr>
          <w:b/>
          <w:color w:val="000000"/>
        </w:rPr>
        <w:t xml:space="preserve">Verklaring van de raad van bestuur </w:t>
      </w:r>
      <w:r>
        <w:rPr>
          <w:color w:val="000000"/>
        </w:rPr>
        <w:t>dat de milieueisen worden toegepast door alle inkopers en budgethouders van de instelling</w:t>
      </w:r>
    </w:p>
    <w:p w14:paraId="00000006" w14:textId="77777777" w:rsidR="008703C3" w:rsidRDefault="009022F1" w:rsidP="009022F1">
      <w:pPr>
        <w:numPr>
          <w:ilvl w:val="0"/>
          <w:numId w:val="11"/>
        </w:numPr>
        <w:pBdr>
          <w:top w:val="nil"/>
          <w:left w:val="nil"/>
          <w:bottom w:val="nil"/>
          <w:right w:val="nil"/>
          <w:between w:val="nil"/>
        </w:pBdr>
        <w:ind w:left="720"/>
        <w:rPr>
          <w:b/>
          <w:color w:val="000000"/>
        </w:rPr>
      </w:pPr>
      <w:r>
        <w:rPr>
          <w:b/>
          <w:color w:val="000000"/>
        </w:rPr>
        <w:t>Het doel van duurzaam inkopen</w:t>
      </w:r>
      <w:r>
        <w:rPr>
          <w:color w:val="000000"/>
        </w:rPr>
        <w:t>, denk aan doelen voor duurzame bedrijfsvoering / verkleinen milieu-impact / sociale doelen / verlagen TCO. Verwijzing naar een overkoepe</w:t>
      </w:r>
      <w:r>
        <w:rPr>
          <w:color w:val="000000"/>
        </w:rPr>
        <w:t>lend duurzaamheid- of MVO-beleid en/of de Green Deal Duurzame Zorg.</w:t>
      </w:r>
    </w:p>
    <w:p w14:paraId="00000007" w14:textId="77777777" w:rsidR="008703C3" w:rsidRDefault="009022F1" w:rsidP="009022F1">
      <w:pPr>
        <w:numPr>
          <w:ilvl w:val="0"/>
          <w:numId w:val="11"/>
        </w:numPr>
        <w:pBdr>
          <w:top w:val="nil"/>
          <w:left w:val="nil"/>
          <w:bottom w:val="nil"/>
          <w:right w:val="nil"/>
          <w:between w:val="nil"/>
        </w:pBdr>
        <w:ind w:left="720"/>
        <w:rPr>
          <w:b/>
          <w:color w:val="000000"/>
        </w:rPr>
      </w:pPr>
      <w:r>
        <w:rPr>
          <w:b/>
          <w:color w:val="000000"/>
        </w:rPr>
        <w:t xml:space="preserve">Reikwijdte van duurzaam inkopen, bijvoorbeeld: </w:t>
      </w:r>
    </w:p>
    <w:p w14:paraId="00000008" w14:textId="77777777" w:rsidR="008703C3" w:rsidRDefault="009022F1" w:rsidP="009022F1">
      <w:pPr>
        <w:numPr>
          <w:ilvl w:val="0"/>
          <w:numId w:val="4"/>
        </w:numPr>
        <w:pBdr>
          <w:top w:val="nil"/>
          <w:left w:val="nil"/>
          <w:bottom w:val="nil"/>
          <w:right w:val="nil"/>
          <w:between w:val="nil"/>
        </w:pBdr>
        <w:ind w:left="1440"/>
      </w:pPr>
      <w:r>
        <w:rPr>
          <w:color w:val="000000"/>
        </w:rPr>
        <w:t>Milieueisen uit de Milieuthermometer zorg:</w:t>
      </w:r>
    </w:p>
    <w:p w14:paraId="00000009" w14:textId="77777777" w:rsidR="008703C3" w:rsidRDefault="009022F1" w:rsidP="009022F1">
      <w:pPr>
        <w:numPr>
          <w:ilvl w:val="1"/>
          <w:numId w:val="4"/>
        </w:numPr>
        <w:pBdr>
          <w:top w:val="nil"/>
          <w:left w:val="nil"/>
          <w:bottom w:val="nil"/>
          <w:right w:val="nil"/>
          <w:between w:val="nil"/>
        </w:pBdr>
        <w:ind w:left="1854" w:hanging="283"/>
      </w:pPr>
      <w:r>
        <w:rPr>
          <w:color w:val="000000"/>
        </w:rPr>
        <w:t xml:space="preserve">Facilitaire producten met milieueisen vanuit de Milieuthermometer Zorg, zie ook de </w:t>
      </w:r>
      <w:r>
        <w:rPr>
          <w:i/>
          <w:color w:val="000000"/>
        </w:rPr>
        <w:t>Inkoopmemo van MPZ</w:t>
      </w:r>
      <w:r>
        <w:rPr>
          <w:color w:val="000000"/>
        </w:rPr>
        <w:t xml:space="preserve"> hiervoor (eis 10.1) </w:t>
      </w:r>
    </w:p>
    <w:p w14:paraId="0000000A" w14:textId="77777777" w:rsidR="008703C3" w:rsidRDefault="009022F1" w:rsidP="009022F1">
      <w:pPr>
        <w:numPr>
          <w:ilvl w:val="1"/>
          <w:numId w:val="4"/>
        </w:numPr>
        <w:pBdr>
          <w:top w:val="nil"/>
          <w:left w:val="nil"/>
          <w:bottom w:val="nil"/>
          <w:right w:val="nil"/>
          <w:between w:val="nil"/>
        </w:pBdr>
        <w:ind w:left="1854" w:hanging="283"/>
      </w:pPr>
      <w:r>
        <w:rPr>
          <w:color w:val="000000"/>
        </w:rPr>
        <w:t xml:space="preserve">Facilitaire productgroepen die niet in de Milieuthermometer Zorg staan volgens de MVI-criteria van </w:t>
      </w:r>
      <w:proofErr w:type="spellStart"/>
      <w:r>
        <w:rPr>
          <w:color w:val="000000"/>
        </w:rPr>
        <w:t>PIANOo</w:t>
      </w:r>
      <w:proofErr w:type="spellEnd"/>
      <w:r>
        <w:rPr>
          <w:color w:val="000000"/>
        </w:rPr>
        <w:t xml:space="preserve">, inclusief ambitieniveau (zie ook eis 10.3 van de Milieuthermometer Zorg). </w:t>
      </w:r>
    </w:p>
    <w:p w14:paraId="0000000B" w14:textId="77777777" w:rsidR="008703C3" w:rsidRDefault="009022F1" w:rsidP="009022F1">
      <w:pPr>
        <w:numPr>
          <w:ilvl w:val="1"/>
          <w:numId w:val="4"/>
        </w:numPr>
        <w:pBdr>
          <w:top w:val="nil"/>
          <w:left w:val="nil"/>
          <w:bottom w:val="nil"/>
          <w:right w:val="nil"/>
          <w:between w:val="nil"/>
        </w:pBdr>
        <w:ind w:left="1854" w:hanging="283"/>
      </w:pPr>
      <w:r>
        <w:rPr>
          <w:color w:val="000000"/>
        </w:rPr>
        <w:t>Medische apparatuur (zie ook eis 1</w:t>
      </w:r>
      <w:r>
        <w:rPr>
          <w:color w:val="000000"/>
        </w:rPr>
        <w:t>0.4 van de Milieuthermometer Zorg.)</w:t>
      </w:r>
    </w:p>
    <w:p w14:paraId="0000000C" w14:textId="77777777" w:rsidR="008703C3" w:rsidRDefault="009022F1" w:rsidP="009022F1">
      <w:pPr>
        <w:numPr>
          <w:ilvl w:val="0"/>
          <w:numId w:val="4"/>
        </w:numPr>
        <w:pBdr>
          <w:top w:val="nil"/>
          <w:left w:val="nil"/>
          <w:bottom w:val="nil"/>
          <w:right w:val="nil"/>
          <w:between w:val="nil"/>
        </w:pBdr>
        <w:ind w:left="1440"/>
      </w:pPr>
      <w:r>
        <w:rPr>
          <w:color w:val="000000"/>
        </w:rPr>
        <w:t>Andere milieueisen, bijvoorbeeld:</w:t>
      </w:r>
    </w:p>
    <w:p w14:paraId="0000000D" w14:textId="77777777" w:rsidR="008703C3" w:rsidRDefault="009022F1" w:rsidP="009022F1">
      <w:pPr>
        <w:numPr>
          <w:ilvl w:val="1"/>
          <w:numId w:val="4"/>
        </w:numPr>
        <w:pBdr>
          <w:top w:val="nil"/>
          <w:left w:val="nil"/>
          <w:bottom w:val="nil"/>
          <w:right w:val="nil"/>
          <w:between w:val="nil"/>
        </w:pBdr>
        <w:ind w:left="1854" w:hanging="283"/>
      </w:pPr>
      <w:proofErr w:type="spellStart"/>
      <w:r>
        <w:rPr>
          <w:color w:val="000000"/>
        </w:rPr>
        <w:t>cradle-to-cradle</w:t>
      </w:r>
      <w:proofErr w:type="spellEnd"/>
    </w:p>
    <w:p w14:paraId="0000000E" w14:textId="77777777" w:rsidR="008703C3" w:rsidRDefault="009022F1" w:rsidP="009022F1">
      <w:pPr>
        <w:numPr>
          <w:ilvl w:val="1"/>
          <w:numId w:val="4"/>
        </w:numPr>
        <w:pBdr>
          <w:top w:val="nil"/>
          <w:left w:val="nil"/>
          <w:bottom w:val="nil"/>
          <w:right w:val="nil"/>
          <w:between w:val="nil"/>
        </w:pBdr>
        <w:ind w:left="1854" w:hanging="283"/>
      </w:pPr>
      <w:proofErr w:type="spellStart"/>
      <w:r>
        <w:rPr>
          <w:color w:val="000000"/>
        </w:rPr>
        <w:t>Biobased</w:t>
      </w:r>
      <w:proofErr w:type="spellEnd"/>
      <w:r>
        <w:rPr>
          <w:color w:val="000000"/>
        </w:rPr>
        <w:t xml:space="preserve"> </w:t>
      </w:r>
    </w:p>
    <w:p w14:paraId="0000000F" w14:textId="77777777" w:rsidR="008703C3" w:rsidRDefault="009022F1" w:rsidP="009022F1">
      <w:pPr>
        <w:numPr>
          <w:ilvl w:val="0"/>
          <w:numId w:val="4"/>
        </w:numPr>
        <w:pBdr>
          <w:top w:val="nil"/>
          <w:left w:val="nil"/>
          <w:bottom w:val="nil"/>
          <w:right w:val="nil"/>
          <w:between w:val="nil"/>
        </w:pBdr>
        <w:ind w:left="1440"/>
      </w:pPr>
      <w:r>
        <w:rPr>
          <w:color w:val="000000"/>
        </w:rPr>
        <w:t xml:space="preserve">Andere duurzaamheidseisen, bijvoorbeeld: </w:t>
      </w:r>
    </w:p>
    <w:p w14:paraId="00000010" w14:textId="77777777" w:rsidR="008703C3" w:rsidRDefault="009022F1" w:rsidP="009022F1">
      <w:pPr>
        <w:numPr>
          <w:ilvl w:val="1"/>
          <w:numId w:val="4"/>
        </w:numPr>
        <w:pBdr>
          <w:top w:val="nil"/>
          <w:left w:val="nil"/>
          <w:bottom w:val="nil"/>
          <w:right w:val="nil"/>
          <w:between w:val="nil"/>
        </w:pBdr>
        <w:ind w:left="1854" w:hanging="283"/>
      </w:pPr>
      <w:r>
        <w:rPr>
          <w:color w:val="000000"/>
        </w:rPr>
        <w:t xml:space="preserve">sociaal dichtbij (voor mensen met afstand tot de arbeidsmarkt) </w:t>
      </w:r>
    </w:p>
    <w:p w14:paraId="00000011" w14:textId="77777777" w:rsidR="008703C3" w:rsidRDefault="009022F1" w:rsidP="009022F1">
      <w:pPr>
        <w:numPr>
          <w:ilvl w:val="1"/>
          <w:numId w:val="4"/>
        </w:numPr>
        <w:pBdr>
          <w:top w:val="nil"/>
          <w:left w:val="nil"/>
          <w:bottom w:val="nil"/>
          <w:right w:val="nil"/>
          <w:between w:val="nil"/>
        </w:pBdr>
        <w:ind w:left="1854" w:hanging="283"/>
      </w:pPr>
      <w:r>
        <w:rPr>
          <w:color w:val="000000"/>
        </w:rPr>
        <w:t xml:space="preserve">sociaal ver weg (internationale arbeidsvoorwaarden) </w:t>
      </w:r>
    </w:p>
    <w:p w14:paraId="00000012" w14:textId="77777777" w:rsidR="008703C3" w:rsidRDefault="009022F1" w:rsidP="009022F1">
      <w:pPr>
        <w:numPr>
          <w:ilvl w:val="1"/>
          <w:numId w:val="4"/>
        </w:numPr>
        <w:pBdr>
          <w:top w:val="nil"/>
          <w:left w:val="nil"/>
          <w:bottom w:val="nil"/>
          <w:right w:val="nil"/>
          <w:between w:val="nil"/>
        </w:pBdr>
        <w:ind w:left="1854" w:hanging="283"/>
      </w:pPr>
      <w:r>
        <w:rPr>
          <w:color w:val="000000"/>
        </w:rPr>
        <w:t>arbeidsomstandigheden voor eigen organisatie</w:t>
      </w:r>
    </w:p>
    <w:p w14:paraId="00000013" w14:textId="77777777" w:rsidR="008703C3" w:rsidRDefault="008703C3" w:rsidP="009022F1">
      <w:pPr>
        <w:pBdr>
          <w:top w:val="nil"/>
          <w:left w:val="nil"/>
          <w:bottom w:val="nil"/>
          <w:right w:val="nil"/>
          <w:between w:val="nil"/>
        </w:pBdr>
        <w:ind w:left="1074"/>
        <w:rPr>
          <w:color w:val="000000"/>
        </w:rPr>
      </w:pPr>
    </w:p>
    <w:p w14:paraId="00000014" w14:textId="79FA73B3" w:rsidR="008703C3" w:rsidRDefault="009022F1" w:rsidP="00D908BA">
      <w:pPr>
        <w:pStyle w:val="Kop2"/>
        <w:numPr>
          <w:ilvl w:val="0"/>
          <w:numId w:val="2"/>
        </w:numPr>
      </w:pPr>
      <w:r>
        <w:t>Aanpak</w:t>
      </w:r>
    </w:p>
    <w:p w14:paraId="00000015" w14:textId="77777777" w:rsidR="008703C3" w:rsidRDefault="009022F1" w:rsidP="00D908BA">
      <w:pPr>
        <w:numPr>
          <w:ilvl w:val="0"/>
          <w:numId w:val="12"/>
        </w:numPr>
        <w:pBdr>
          <w:top w:val="nil"/>
          <w:left w:val="nil"/>
          <w:bottom w:val="nil"/>
          <w:right w:val="nil"/>
          <w:between w:val="nil"/>
        </w:pBdr>
        <w:rPr>
          <w:b/>
          <w:color w:val="000000"/>
        </w:rPr>
      </w:pPr>
      <w:r>
        <w:rPr>
          <w:b/>
          <w:color w:val="000000"/>
        </w:rPr>
        <w:t>Beschrijving van taken, verantwoordelijkheden en bevoegdheden</w:t>
      </w:r>
      <w:r>
        <w:rPr>
          <w:color w:val="000000"/>
        </w:rPr>
        <w:t>, inclusief beschrijving hoe en wanneer de milieucoördinator wordt betrokken in het proces.</w:t>
      </w:r>
    </w:p>
    <w:p w14:paraId="00000016" w14:textId="77777777" w:rsidR="008703C3" w:rsidRDefault="009022F1" w:rsidP="00D908BA">
      <w:pPr>
        <w:numPr>
          <w:ilvl w:val="0"/>
          <w:numId w:val="12"/>
        </w:numPr>
        <w:pBdr>
          <w:top w:val="nil"/>
          <w:left w:val="nil"/>
          <w:bottom w:val="nil"/>
          <w:right w:val="nil"/>
          <w:between w:val="nil"/>
        </w:pBdr>
        <w:rPr>
          <w:b/>
          <w:color w:val="000000"/>
        </w:rPr>
      </w:pPr>
      <w:r>
        <w:rPr>
          <w:b/>
          <w:color w:val="000000"/>
        </w:rPr>
        <w:t>Beschrijving van het proces van het toepassen van eisen uit de reikwijdte</w:t>
      </w:r>
      <w:r>
        <w:rPr>
          <w:color w:val="000000"/>
        </w:rPr>
        <w:t>,</w:t>
      </w:r>
    </w:p>
    <w:p w14:paraId="00000017" w14:textId="368440BF" w:rsidR="008703C3" w:rsidRPr="009022F1" w:rsidRDefault="009022F1" w:rsidP="009022F1">
      <w:pPr>
        <w:pStyle w:val="Lijstalinea"/>
        <w:numPr>
          <w:ilvl w:val="0"/>
          <w:numId w:val="14"/>
        </w:numPr>
        <w:pBdr>
          <w:top w:val="nil"/>
          <w:left w:val="nil"/>
          <w:bottom w:val="nil"/>
          <w:right w:val="nil"/>
          <w:between w:val="nil"/>
        </w:pBdr>
      </w:pPr>
      <w:r w:rsidRPr="00D908BA">
        <w:rPr>
          <w:color w:val="000000"/>
        </w:rPr>
        <w:t>Werkinstructie voor nieuwe contracten of verlenging van contracten voor producten en diensten, waarbij minimaal een gesprek ingepland wordt rondom thema duurzaamheid met de producen</w:t>
      </w:r>
      <w:r w:rsidRPr="00D908BA">
        <w:rPr>
          <w:color w:val="000000"/>
        </w:rPr>
        <w:t>t of dienstverlener;</w:t>
      </w:r>
    </w:p>
    <w:p w14:paraId="0AB4C01F" w14:textId="772E79C0" w:rsidR="009022F1" w:rsidRPr="00D908BA" w:rsidRDefault="009022F1" w:rsidP="009022F1">
      <w:pPr>
        <w:pStyle w:val="Lijstalinea"/>
        <w:numPr>
          <w:ilvl w:val="0"/>
          <w:numId w:val="14"/>
        </w:numPr>
        <w:pBdr>
          <w:top w:val="nil"/>
          <w:left w:val="nil"/>
          <w:bottom w:val="nil"/>
          <w:right w:val="nil"/>
          <w:between w:val="nil"/>
        </w:pBdr>
      </w:pPr>
      <w:r>
        <w:t xml:space="preserve">Werkinstructie voor contracten met onbepaalde tijd, waarbij het wenselijk minimaal jaarlijks een gesprek in te plannen rondom duurzaamheid. </w:t>
      </w:r>
    </w:p>
    <w:p w14:paraId="00000019" w14:textId="77777777" w:rsidR="008703C3" w:rsidRPr="00D908BA" w:rsidRDefault="009022F1" w:rsidP="009022F1">
      <w:pPr>
        <w:pStyle w:val="Lijstalinea"/>
        <w:numPr>
          <w:ilvl w:val="0"/>
          <w:numId w:val="14"/>
        </w:numPr>
        <w:pBdr>
          <w:top w:val="nil"/>
          <w:left w:val="nil"/>
          <w:bottom w:val="nil"/>
          <w:right w:val="nil"/>
          <w:between w:val="nil"/>
        </w:pBdr>
      </w:pPr>
      <w:r w:rsidRPr="00D908BA">
        <w:rPr>
          <w:color w:val="000000"/>
        </w:rPr>
        <w:t>Werkinstructie voor contractmanagement en het control</w:t>
      </w:r>
      <w:r w:rsidRPr="00D908BA">
        <w:rPr>
          <w:color w:val="000000"/>
        </w:rPr>
        <w:t>eren</w:t>
      </w:r>
      <w:r w:rsidRPr="00D908BA">
        <w:rPr>
          <w:color w:val="000000"/>
        </w:rPr>
        <w:t xml:space="preserve"> </w:t>
      </w:r>
      <w:r w:rsidRPr="00D908BA">
        <w:rPr>
          <w:color w:val="000000"/>
        </w:rPr>
        <w:t>van de geleverde producten tegen de afgesproken voorwaarden;</w:t>
      </w:r>
    </w:p>
    <w:p w14:paraId="0000001A" w14:textId="77777777" w:rsidR="008703C3" w:rsidRPr="00D908BA" w:rsidRDefault="009022F1" w:rsidP="009022F1">
      <w:pPr>
        <w:pStyle w:val="Lijstalinea"/>
        <w:numPr>
          <w:ilvl w:val="0"/>
          <w:numId w:val="14"/>
        </w:numPr>
        <w:pBdr>
          <w:top w:val="nil"/>
          <w:left w:val="nil"/>
          <w:bottom w:val="nil"/>
          <w:right w:val="nil"/>
          <w:between w:val="nil"/>
        </w:pBdr>
        <w:rPr>
          <w:color w:val="000000"/>
        </w:rPr>
      </w:pPr>
      <w:r w:rsidRPr="00D908BA">
        <w:rPr>
          <w:color w:val="000000"/>
        </w:rPr>
        <w:t xml:space="preserve">Werkinstructie voor de inkoop van medische disposables waarbij een </w:t>
      </w:r>
      <w:proofErr w:type="spellStart"/>
      <w:r w:rsidRPr="00D908BA">
        <w:rPr>
          <w:color w:val="000000"/>
        </w:rPr>
        <w:t>reusable</w:t>
      </w:r>
      <w:proofErr w:type="spellEnd"/>
      <w:r w:rsidRPr="00D908BA">
        <w:rPr>
          <w:color w:val="000000"/>
        </w:rPr>
        <w:t xml:space="preserve"> alternatief gezocht wordt. De twee opties worden met elkaar vergeleken op basis van Total </w:t>
      </w:r>
      <w:proofErr w:type="spellStart"/>
      <w:r w:rsidRPr="00D908BA">
        <w:rPr>
          <w:color w:val="000000"/>
        </w:rPr>
        <w:t>Cost</w:t>
      </w:r>
      <w:proofErr w:type="spellEnd"/>
      <w:r w:rsidRPr="00D908BA">
        <w:rPr>
          <w:color w:val="000000"/>
        </w:rPr>
        <w:t xml:space="preserve"> of </w:t>
      </w:r>
      <w:proofErr w:type="spellStart"/>
      <w:r w:rsidRPr="00D908BA">
        <w:rPr>
          <w:color w:val="000000"/>
        </w:rPr>
        <w:t>Ownership</w:t>
      </w:r>
      <w:proofErr w:type="spellEnd"/>
      <w:r w:rsidRPr="00D908BA">
        <w:rPr>
          <w:color w:val="000000"/>
        </w:rPr>
        <w:t xml:space="preserve"> en ind</w:t>
      </w:r>
      <w:r w:rsidRPr="00D908BA">
        <w:rPr>
          <w:color w:val="000000"/>
        </w:rPr>
        <w:t>ien mogelijk milieuanalyse of LCA.</w:t>
      </w:r>
    </w:p>
    <w:p w14:paraId="0000001B" w14:textId="77777777" w:rsidR="008703C3" w:rsidRDefault="009022F1" w:rsidP="00D908BA">
      <w:pPr>
        <w:numPr>
          <w:ilvl w:val="0"/>
          <w:numId w:val="12"/>
        </w:numPr>
        <w:pBdr>
          <w:top w:val="nil"/>
          <w:left w:val="nil"/>
          <w:bottom w:val="nil"/>
          <w:right w:val="nil"/>
          <w:between w:val="nil"/>
        </w:pBdr>
        <w:rPr>
          <w:b/>
          <w:color w:val="000000"/>
        </w:rPr>
      </w:pPr>
      <w:r>
        <w:rPr>
          <w:b/>
          <w:color w:val="000000"/>
        </w:rPr>
        <w:t>B</w:t>
      </w:r>
      <w:r>
        <w:rPr>
          <w:b/>
          <w:color w:val="000000"/>
        </w:rPr>
        <w:t xml:space="preserve">eschrijving van gebruikte hulpmiddelen </w:t>
      </w:r>
      <w:r>
        <w:rPr>
          <w:color w:val="000000"/>
        </w:rPr>
        <w:t xml:space="preserve">zoals standaard-inkoopdocumenten, </w:t>
      </w:r>
      <w:hyperlink r:id="rId8">
        <w:r>
          <w:rPr>
            <w:i/>
            <w:color w:val="000000"/>
          </w:rPr>
          <w:t>MPZ Duurzaam inkopen tool</w:t>
        </w:r>
      </w:hyperlink>
      <w:r>
        <w:rPr>
          <w:color w:val="000000"/>
        </w:rPr>
        <w:t xml:space="preserve">, </w:t>
      </w:r>
      <w:r>
        <w:rPr>
          <w:i/>
          <w:color w:val="000000"/>
        </w:rPr>
        <w:t>MVI-criteriatool</w:t>
      </w:r>
      <w:r>
        <w:rPr>
          <w:color w:val="000000"/>
        </w:rPr>
        <w:t xml:space="preserve"> of ch</w:t>
      </w:r>
      <w:bookmarkStart w:id="1" w:name="_GoBack"/>
      <w:bookmarkEnd w:id="1"/>
      <w:r>
        <w:rPr>
          <w:color w:val="000000"/>
        </w:rPr>
        <w:t xml:space="preserve">ecklists voor het beoordelen van producten en/of leveranciers op het voldoen aan </w:t>
      </w:r>
      <w:proofErr w:type="spellStart"/>
      <w:r>
        <w:rPr>
          <w:color w:val="000000"/>
        </w:rPr>
        <w:t>milieu-eisen</w:t>
      </w:r>
      <w:proofErr w:type="spellEnd"/>
    </w:p>
    <w:p w14:paraId="0000001C" w14:textId="77777777" w:rsidR="008703C3" w:rsidRDefault="009022F1" w:rsidP="00D908BA">
      <w:pPr>
        <w:numPr>
          <w:ilvl w:val="0"/>
          <w:numId w:val="12"/>
        </w:numPr>
        <w:pBdr>
          <w:top w:val="nil"/>
          <w:left w:val="nil"/>
          <w:bottom w:val="nil"/>
          <w:right w:val="nil"/>
          <w:between w:val="nil"/>
        </w:pBdr>
        <w:rPr>
          <w:b/>
          <w:color w:val="000000"/>
        </w:rPr>
      </w:pPr>
      <w:r>
        <w:rPr>
          <w:b/>
          <w:color w:val="000000"/>
        </w:rPr>
        <w:t>Aanpak voor het creëren van bewustwording en draagvlak</w:t>
      </w:r>
      <w:r>
        <w:rPr>
          <w:color w:val="000000"/>
        </w:rPr>
        <w:t xml:space="preserve"> bij de inkopers en budgethouders van alle divisies, inclusief wensen t.a.v. kennis en ervaring van be</w:t>
      </w:r>
      <w:r>
        <w:rPr>
          <w:color w:val="000000"/>
        </w:rPr>
        <w:t>trokkenen (opleiding).</w:t>
      </w:r>
    </w:p>
    <w:p w14:paraId="0000001D" w14:textId="77777777" w:rsidR="008703C3" w:rsidRDefault="009022F1" w:rsidP="00D908BA">
      <w:pPr>
        <w:numPr>
          <w:ilvl w:val="0"/>
          <w:numId w:val="12"/>
        </w:numPr>
        <w:pBdr>
          <w:top w:val="nil"/>
          <w:left w:val="nil"/>
          <w:bottom w:val="nil"/>
          <w:right w:val="nil"/>
          <w:between w:val="nil"/>
        </w:pBdr>
        <w:rPr>
          <w:b/>
          <w:color w:val="000000"/>
        </w:rPr>
      </w:pPr>
      <w:r>
        <w:rPr>
          <w:b/>
          <w:color w:val="000000"/>
        </w:rPr>
        <w:t>Meten van voortgang:</w:t>
      </w:r>
      <w:r>
        <w:rPr>
          <w:color w:val="000000"/>
        </w:rPr>
        <w:t xml:space="preserve"> stand van zaken t.o.v. de doelen</w:t>
      </w:r>
    </w:p>
    <w:p w14:paraId="0000001F" w14:textId="393CC9B0" w:rsidR="008703C3" w:rsidRDefault="009022F1" w:rsidP="00D908BA">
      <w:pPr>
        <w:pStyle w:val="Kop2"/>
        <w:numPr>
          <w:ilvl w:val="0"/>
          <w:numId w:val="2"/>
        </w:numPr>
      </w:pPr>
      <w:r>
        <w:lastRenderedPageBreak/>
        <w:t xml:space="preserve">Jaarlijks implementatieplan </w:t>
      </w:r>
    </w:p>
    <w:p w14:paraId="00000020" w14:textId="77777777" w:rsidR="008703C3" w:rsidRDefault="009022F1">
      <w:pPr>
        <w:ind w:left="720"/>
      </w:pPr>
      <w:r>
        <w:t>Overzicht van de geplande aanbestedingen waarin volgens dit inkoopbeleid aandacht besteed wordt aan duurzaam inkopen.</w:t>
      </w:r>
    </w:p>
    <w:sectPr w:rsidR="008703C3">
      <w:footerReference w:type="even" r:id="rId9"/>
      <w:footerReference w:type="default" r:id="rId10"/>
      <w:pgSz w:w="11906" w:h="16838"/>
      <w:pgMar w:top="2155" w:right="1701" w:bottom="1701" w:left="1701" w:header="1021"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52AEB" w14:textId="77777777" w:rsidR="00000000" w:rsidRDefault="009022F1">
      <w:r>
        <w:separator/>
      </w:r>
    </w:p>
  </w:endnote>
  <w:endnote w:type="continuationSeparator" w:id="0">
    <w:p w14:paraId="3C4D73E0" w14:textId="77777777" w:rsidR="00000000" w:rsidRDefault="0090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4E72B473" w:rsidR="008703C3" w:rsidRDefault="009022F1">
    <w:pPr>
      <w:pBdr>
        <w:top w:val="single" w:sz="4" w:space="1" w:color="000000"/>
        <w:left w:val="nil"/>
        <w:bottom w:val="nil"/>
        <w:right w:val="nil"/>
        <w:between w:val="nil"/>
      </w:pBdr>
      <w:tabs>
        <w:tab w:val="center" w:pos="4253"/>
        <w:tab w:val="right" w:pos="8505"/>
      </w:tabs>
      <w:rPr>
        <w:i/>
        <w:color w:val="000000"/>
        <w:sz w:val="16"/>
        <w:szCs w:val="16"/>
      </w:rPr>
    </w:pPr>
    <w:r>
      <w:rPr>
        <w:i/>
        <w:color w:val="000000"/>
        <w:sz w:val="16"/>
        <w:szCs w:val="16"/>
      </w:rPr>
      <w:fldChar w:fldCharType="begin"/>
    </w:r>
    <w:r>
      <w:rPr>
        <w:i/>
        <w:color w:val="000000"/>
        <w:sz w:val="16"/>
        <w:szCs w:val="16"/>
      </w:rPr>
      <w:instrText>PAGE</w:instrText>
    </w:r>
    <w:r w:rsidR="00D908BA">
      <w:rPr>
        <w:i/>
        <w:color w:val="000000"/>
        <w:sz w:val="16"/>
        <w:szCs w:val="16"/>
      </w:rPr>
      <w:fldChar w:fldCharType="separate"/>
    </w:r>
    <w:r w:rsidR="00D908BA">
      <w:rPr>
        <w:i/>
        <w:noProof/>
        <w:color w:val="000000"/>
        <w:sz w:val="16"/>
        <w:szCs w:val="16"/>
      </w:rPr>
      <w:t>2</w:t>
    </w:r>
    <w:r>
      <w:rPr>
        <w:i/>
        <w:color w:val="000000"/>
        <w:sz w:val="16"/>
        <w:szCs w:val="16"/>
      </w:rPr>
      <w:fldChar w:fldCharType="end"/>
    </w:r>
  </w:p>
  <w:p w14:paraId="00000023" w14:textId="77777777" w:rsidR="008703C3" w:rsidRDefault="009022F1">
    <w:pPr>
      <w:pBdr>
        <w:top w:val="single" w:sz="4" w:space="1" w:color="000000"/>
        <w:left w:val="nil"/>
        <w:bottom w:val="nil"/>
        <w:right w:val="nil"/>
        <w:between w:val="nil"/>
      </w:pBdr>
      <w:tabs>
        <w:tab w:val="center" w:pos="4253"/>
        <w:tab w:val="right" w:pos="8505"/>
        <w:tab w:val="center" w:pos="-2694"/>
      </w:tabs>
      <w:rPr>
        <w:i/>
        <w:color w:val="000000"/>
        <w:sz w:val="16"/>
        <w:szCs w:val="16"/>
      </w:rPr>
    </w:pPr>
    <w:r>
      <w:rPr>
        <w:i/>
        <w:color w:val="000000"/>
        <w:sz w:val="16"/>
        <w:szCs w:val="16"/>
      </w:rPr>
      <w:tab/>
      <w:t>Document2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8703C3" w:rsidRDefault="009022F1">
    <w:pPr>
      <w:pBdr>
        <w:top w:val="single" w:sz="4" w:space="1" w:color="000000"/>
        <w:left w:val="nil"/>
        <w:bottom w:val="nil"/>
        <w:right w:val="nil"/>
        <w:between w:val="nil"/>
      </w:pBdr>
      <w:tabs>
        <w:tab w:val="center" w:pos="4253"/>
        <w:tab w:val="right" w:pos="8505"/>
      </w:tabs>
      <w:rPr>
        <w:i/>
        <w:color w:val="000000"/>
        <w:sz w:val="16"/>
        <w:szCs w:val="16"/>
      </w:rPr>
    </w:pPr>
    <w:r>
      <w:rPr>
        <w:i/>
        <w:color w:val="000000"/>
        <w:sz w:val="16"/>
        <w:szCs w:val="16"/>
      </w:rPr>
      <w:t>Onderdelen van een duurzaam inkopen beleid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7A985" w14:textId="77777777" w:rsidR="00000000" w:rsidRDefault="009022F1">
      <w:r>
        <w:separator/>
      </w:r>
    </w:p>
  </w:footnote>
  <w:footnote w:type="continuationSeparator" w:id="0">
    <w:p w14:paraId="0912C50E" w14:textId="77777777" w:rsidR="00000000" w:rsidRDefault="00902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6B8"/>
    <w:multiLevelType w:val="multilevel"/>
    <w:tmpl w:val="80B4008C"/>
    <w:lvl w:ilvl="0">
      <w:start w:val="1"/>
      <w:numFmt w:val="decimal"/>
      <w:lvlText w:val="%1."/>
      <w:lvlJc w:val="left"/>
      <w:pPr>
        <w:ind w:left="360" w:hanging="360"/>
      </w:pPr>
      <w:rPr>
        <w:sz w:val="20"/>
        <w:szCs w:val="20"/>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1" w15:restartNumberingAfterBreak="0">
    <w:nsid w:val="30C35E94"/>
    <w:multiLevelType w:val="multilevel"/>
    <w:tmpl w:val="35F437C4"/>
    <w:lvl w:ilvl="0">
      <w:start w:val="1"/>
      <w:numFmt w:val="bullet"/>
      <w:pStyle w:val="Kop1"/>
      <w:lvlText w:val="●"/>
      <w:lvlJc w:val="left"/>
      <w:pPr>
        <w:ind w:left="-664" w:hanging="360"/>
      </w:pPr>
      <w:rPr>
        <w:rFonts w:ascii="Noto Sans Symbols" w:eastAsia="Noto Sans Symbols" w:hAnsi="Noto Sans Symbols" w:cs="Noto Sans Symbols"/>
      </w:rPr>
    </w:lvl>
    <w:lvl w:ilvl="1">
      <w:start w:val="1"/>
      <w:numFmt w:val="bullet"/>
      <w:lvlText w:val="o"/>
      <w:lvlJc w:val="left"/>
      <w:pPr>
        <w:ind w:left="56" w:hanging="360"/>
      </w:pPr>
      <w:rPr>
        <w:rFonts w:ascii="Courier New" w:eastAsia="Courier New" w:hAnsi="Courier New" w:cs="Courier New"/>
      </w:rPr>
    </w:lvl>
    <w:lvl w:ilvl="2">
      <w:start w:val="1"/>
      <w:numFmt w:val="bullet"/>
      <w:lvlText w:val="▪"/>
      <w:lvlJc w:val="left"/>
      <w:pPr>
        <w:ind w:left="776" w:hanging="360"/>
      </w:pPr>
      <w:rPr>
        <w:rFonts w:ascii="Noto Sans Symbols" w:eastAsia="Noto Sans Symbols" w:hAnsi="Noto Sans Symbols" w:cs="Noto Sans Symbols"/>
      </w:rPr>
    </w:lvl>
    <w:lvl w:ilvl="3">
      <w:start w:val="1"/>
      <w:numFmt w:val="bullet"/>
      <w:lvlText w:val="●"/>
      <w:lvlJc w:val="left"/>
      <w:pPr>
        <w:ind w:left="1496" w:hanging="360"/>
      </w:pPr>
      <w:rPr>
        <w:rFonts w:ascii="Noto Sans Symbols" w:eastAsia="Noto Sans Symbols" w:hAnsi="Noto Sans Symbols" w:cs="Noto Sans Symbols"/>
      </w:rPr>
    </w:lvl>
    <w:lvl w:ilvl="4">
      <w:start w:val="1"/>
      <w:numFmt w:val="bullet"/>
      <w:lvlText w:val="o"/>
      <w:lvlJc w:val="left"/>
      <w:pPr>
        <w:ind w:left="2216" w:hanging="360"/>
      </w:pPr>
      <w:rPr>
        <w:rFonts w:ascii="Courier New" w:eastAsia="Courier New" w:hAnsi="Courier New" w:cs="Courier New"/>
      </w:rPr>
    </w:lvl>
    <w:lvl w:ilvl="5">
      <w:start w:val="1"/>
      <w:numFmt w:val="bullet"/>
      <w:lvlText w:val="▪"/>
      <w:lvlJc w:val="left"/>
      <w:pPr>
        <w:ind w:left="2936" w:hanging="360"/>
      </w:pPr>
      <w:rPr>
        <w:rFonts w:ascii="Noto Sans Symbols" w:eastAsia="Noto Sans Symbols" w:hAnsi="Noto Sans Symbols" w:cs="Noto Sans Symbols"/>
      </w:rPr>
    </w:lvl>
    <w:lvl w:ilvl="6">
      <w:start w:val="1"/>
      <w:numFmt w:val="bullet"/>
      <w:lvlText w:val="●"/>
      <w:lvlJc w:val="left"/>
      <w:pPr>
        <w:ind w:left="3656" w:hanging="360"/>
      </w:pPr>
      <w:rPr>
        <w:rFonts w:ascii="Noto Sans Symbols" w:eastAsia="Noto Sans Symbols" w:hAnsi="Noto Sans Symbols" w:cs="Noto Sans Symbols"/>
      </w:rPr>
    </w:lvl>
    <w:lvl w:ilvl="7">
      <w:start w:val="1"/>
      <w:numFmt w:val="bullet"/>
      <w:lvlText w:val="o"/>
      <w:lvlJc w:val="left"/>
      <w:pPr>
        <w:ind w:left="4376" w:hanging="360"/>
      </w:pPr>
      <w:rPr>
        <w:rFonts w:ascii="Courier New" w:eastAsia="Courier New" w:hAnsi="Courier New" w:cs="Courier New"/>
      </w:rPr>
    </w:lvl>
    <w:lvl w:ilvl="8">
      <w:start w:val="1"/>
      <w:numFmt w:val="bullet"/>
      <w:lvlText w:val="▪"/>
      <w:lvlJc w:val="left"/>
      <w:pPr>
        <w:ind w:left="5096" w:hanging="360"/>
      </w:pPr>
      <w:rPr>
        <w:rFonts w:ascii="Noto Sans Symbols" w:eastAsia="Noto Sans Symbols" w:hAnsi="Noto Sans Symbols" w:cs="Noto Sans Symbols"/>
      </w:rPr>
    </w:lvl>
  </w:abstractNum>
  <w:abstractNum w:abstractNumId="2" w15:restartNumberingAfterBreak="0">
    <w:nsid w:val="379A426A"/>
    <w:multiLevelType w:val="hybridMultilevel"/>
    <w:tmpl w:val="3A1EEBBC"/>
    <w:lvl w:ilvl="0" w:tplc="0413000F">
      <w:start w:val="1"/>
      <w:numFmt w:val="decimal"/>
      <w:lvlText w:val="%1."/>
      <w:lvlJc w:val="left"/>
      <w:pPr>
        <w:ind w:left="1267" w:hanging="360"/>
      </w:p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3" w15:restartNumberingAfterBreak="0">
    <w:nsid w:val="3A1E57FC"/>
    <w:multiLevelType w:val="multilevel"/>
    <w:tmpl w:val="3CEA55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D01541A"/>
    <w:multiLevelType w:val="hybridMultilevel"/>
    <w:tmpl w:val="50A41B56"/>
    <w:lvl w:ilvl="0" w:tplc="04130001">
      <w:start w:val="1"/>
      <w:numFmt w:val="bullet"/>
      <w:lvlText w:val=""/>
      <w:lvlJc w:val="left"/>
      <w:pPr>
        <w:ind w:left="1267" w:hanging="360"/>
      </w:pPr>
      <w:rPr>
        <w:rFonts w:ascii="Symbol" w:hAnsi="Symbol" w:hint="default"/>
      </w:rPr>
    </w:lvl>
    <w:lvl w:ilvl="1" w:tplc="04130019" w:tentative="1">
      <w:start w:val="1"/>
      <w:numFmt w:val="lowerLetter"/>
      <w:lvlText w:val="%2."/>
      <w:lvlJc w:val="left"/>
      <w:pPr>
        <w:ind w:left="1987" w:hanging="360"/>
      </w:pPr>
    </w:lvl>
    <w:lvl w:ilvl="2" w:tplc="0413001B" w:tentative="1">
      <w:start w:val="1"/>
      <w:numFmt w:val="lowerRoman"/>
      <w:lvlText w:val="%3."/>
      <w:lvlJc w:val="right"/>
      <w:pPr>
        <w:ind w:left="2707" w:hanging="180"/>
      </w:pPr>
    </w:lvl>
    <w:lvl w:ilvl="3" w:tplc="0413000F" w:tentative="1">
      <w:start w:val="1"/>
      <w:numFmt w:val="decimal"/>
      <w:lvlText w:val="%4."/>
      <w:lvlJc w:val="left"/>
      <w:pPr>
        <w:ind w:left="3427" w:hanging="360"/>
      </w:pPr>
    </w:lvl>
    <w:lvl w:ilvl="4" w:tplc="04130019" w:tentative="1">
      <w:start w:val="1"/>
      <w:numFmt w:val="lowerLetter"/>
      <w:lvlText w:val="%5."/>
      <w:lvlJc w:val="left"/>
      <w:pPr>
        <w:ind w:left="4147" w:hanging="360"/>
      </w:pPr>
    </w:lvl>
    <w:lvl w:ilvl="5" w:tplc="0413001B" w:tentative="1">
      <w:start w:val="1"/>
      <w:numFmt w:val="lowerRoman"/>
      <w:lvlText w:val="%6."/>
      <w:lvlJc w:val="right"/>
      <w:pPr>
        <w:ind w:left="4867" w:hanging="180"/>
      </w:pPr>
    </w:lvl>
    <w:lvl w:ilvl="6" w:tplc="0413000F" w:tentative="1">
      <w:start w:val="1"/>
      <w:numFmt w:val="decimal"/>
      <w:lvlText w:val="%7."/>
      <w:lvlJc w:val="left"/>
      <w:pPr>
        <w:ind w:left="5587" w:hanging="360"/>
      </w:pPr>
    </w:lvl>
    <w:lvl w:ilvl="7" w:tplc="04130019" w:tentative="1">
      <w:start w:val="1"/>
      <w:numFmt w:val="lowerLetter"/>
      <w:lvlText w:val="%8."/>
      <w:lvlJc w:val="left"/>
      <w:pPr>
        <w:ind w:left="6307" w:hanging="360"/>
      </w:pPr>
    </w:lvl>
    <w:lvl w:ilvl="8" w:tplc="0413001B" w:tentative="1">
      <w:start w:val="1"/>
      <w:numFmt w:val="lowerRoman"/>
      <w:lvlText w:val="%9."/>
      <w:lvlJc w:val="right"/>
      <w:pPr>
        <w:ind w:left="7027" w:hanging="180"/>
      </w:pPr>
    </w:lvl>
  </w:abstractNum>
  <w:abstractNum w:abstractNumId="5" w15:restartNumberingAfterBreak="0">
    <w:nsid w:val="52D85E1B"/>
    <w:multiLevelType w:val="multilevel"/>
    <w:tmpl w:val="D5304730"/>
    <w:lvl w:ilvl="0">
      <w:start w:val="1"/>
      <w:numFmt w:val="bullet"/>
      <w:lvlText w:val="●"/>
      <w:lvlJc w:val="left"/>
      <w:pPr>
        <w:ind w:left="1074" w:hanging="360"/>
      </w:pPr>
      <w:rPr>
        <w:rFonts w:ascii="Noto Sans Symbols" w:eastAsia="Noto Sans Symbols" w:hAnsi="Noto Sans Symbols" w:cs="Noto Sans Symbols"/>
      </w:rPr>
    </w:lvl>
    <w:lvl w:ilvl="1">
      <w:start w:val="1"/>
      <w:numFmt w:val="bullet"/>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6" w15:restartNumberingAfterBreak="0">
    <w:nsid w:val="53B47094"/>
    <w:multiLevelType w:val="hybridMultilevel"/>
    <w:tmpl w:val="3E6AB556"/>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CCE0F6C"/>
    <w:multiLevelType w:val="multilevel"/>
    <w:tmpl w:val="AAC83F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661627C9"/>
    <w:multiLevelType w:val="multilevel"/>
    <w:tmpl w:val="E9089364"/>
    <w:lvl w:ilvl="0">
      <w:start w:val="1"/>
      <w:numFmt w:val="decimal"/>
      <w:lvlText w:val="%1."/>
      <w:lvlJc w:val="left"/>
      <w:pPr>
        <w:ind w:left="360" w:hanging="360"/>
      </w:pPr>
      <w:rPr>
        <w:sz w:val="20"/>
        <w:szCs w:val="20"/>
      </w:rPr>
    </w:lvl>
    <w:lvl w:ilvl="1">
      <w:start w:val="1"/>
      <w:numFmt w:val="bullet"/>
      <w:pStyle w:val="Kop2"/>
      <w:lvlText w:val="o"/>
      <w:lvlJc w:val="left"/>
      <w:pPr>
        <w:ind w:left="1794" w:hanging="360"/>
      </w:pPr>
      <w:rPr>
        <w:rFonts w:ascii="Courier New" w:eastAsia="Courier New" w:hAnsi="Courier New" w:cs="Courier New"/>
      </w:rPr>
    </w:lvl>
    <w:lvl w:ilvl="2">
      <w:start w:val="1"/>
      <w:numFmt w:val="bullet"/>
      <w:lvlText w:val="▪"/>
      <w:lvlJc w:val="left"/>
      <w:pPr>
        <w:ind w:left="2514" w:hanging="360"/>
      </w:pPr>
      <w:rPr>
        <w:rFonts w:ascii="Noto Sans Symbols" w:eastAsia="Noto Sans Symbols" w:hAnsi="Noto Sans Symbols" w:cs="Noto Sans Symbols"/>
      </w:rPr>
    </w:lvl>
    <w:lvl w:ilvl="3">
      <w:start w:val="1"/>
      <w:numFmt w:val="bullet"/>
      <w:lvlText w:val="●"/>
      <w:lvlJc w:val="left"/>
      <w:pPr>
        <w:ind w:left="3234" w:hanging="360"/>
      </w:pPr>
      <w:rPr>
        <w:rFonts w:ascii="Noto Sans Symbols" w:eastAsia="Noto Sans Symbols" w:hAnsi="Noto Sans Symbols" w:cs="Noto Sans Symbols"/>
      </w:rPr>
    </w:lvl>
    <w:lvl w:ilvl="4">
      <w:start w:val="1"/>
      <w:numFmt w:val="bullet"/>
      <w:lvlText w:val="o"/>
      <w:lvlJc w:val="left"/>
      <w:pPr>
        <w:ind w:left="3954" w:hanging="360"/>
      </w:pPr>
      <w:rPr>
        <w:rFonts w:ascii="Courier New" w:eastAsia="Courier New" w:hAnsi="Courier New" w:cs="Courier New"/>
      </w:rPr>
    </w:lvl>
    <w:lvl w:ilvl="5">
      <w:start w:val="1"/>
      <w:numFmt w:val="bullet"/>
      <w:lvlText w:val="▪"/>
      <w:lvlJc w:val="left"/>
      <w:pPr>
        <w:ind w:left="4674" w:hanging="360"/>
      </w:pPr>
      <w:rPr>
        <w:rFonts w:ascii="Noto Sans Symbols" w:eastAsia="Noto Sans Symbols" w:hAnsi="Noto Sans Symbols" w:cs="Noto Sans Symbols"/>
      </w:rPr>
    </w:lvl>
    <w:lvl w:ilvl="6">
      <w:start w:val="1"/>
      <w:numFmt w:val="bullet"/>
      <w:lvlText w:val="●"/>
      <w:lvlJc w:val="left"/>
      <w:pPr>
        <w:ind w:left="5394" w:hanging="360"/>
      </w:pPr>
      <w:rPr>
        <w:rFonts w:ascii="Noto Sans Symbols" w:eastAsia="Noto Sans Symbols" w:hAnsi="Noto Sans Symbols" w:cs="Noto Sans Symbols"/>
      </w:rPr>
    </w:lvl>
    <w:lvl w:ilvl="7">
      <w:start w:val="1"/>
      <w:numFmt w:val="bullet"/>
      <w:lvlText w:val="o"/>
      <w:lvlJc w:val="left"/>
      <w:pPr>
        <w:ind w:left="6114" w:hanging="360"/>
      </w:pPr>
      <w:rPr>
        <w:rFonts w:ascii="Courier New" w:eastAsia="Courier New" w:hAnsi="Courier New" w:cs="Courier New"/>
      </w:rPr>
    </w:lvl>
    <w:lvl w:ilvl="8">
      <w:start w:val="1"/>
      <w:numFmt w:val="bullet"/>
      <w:lvlText w:val="▪"/>
      <w:lvlJc w:val="left"/>
      <w:pPr>
        <w:ind w:left="6834" w:hanging="360"/>
      </w:pPr>
      <w:rPr>
        <w:rFonts w:ascii="Noto Sans Symbols" w:eastAsia="Noto Sans Symbols" w:hAnsi="Noto Sans Symbols" w:cs="Noto Sans Symbols"/>
      </w:rPr>
    </w:lvl>
  </w:abstractNum>
  <w:abstractNum w:abstractNumId="9" w15:restartNumberingAfterBreak="0">
    <w:nsid w:val="78E528F7"/>
    <w:multiLevelType w:val="multilevel"/>
    <w:tmpl w:val="838AB04A"/>
    <w:lvl w:ilvl="0">
      <w:start w:val="1"/>
      <w:numFmt w:val="decimal"/>
      <w:pStyle w:val="Lijstnummer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5"/>
  </w:num>
  <w:num w:numId="4">
    <w:abstractNumId w:val="1"/>
  </w:num>
  <w:num w:numId="5">
    <w:abstractNumId w:val="8"/>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3C3"/>
    <w:rsid w:val="008703C3"/>
    <w:rsid w:val="009022F1"/>
    <w:rsid w:val="00D908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1C3C"/>
  <w15:docId w15:val="{182A2AAC-B0E4-4EC5-BA16-0B8759E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18"/>
        <w:szCs w:val="18"/>
        <w:lang w:val="nl-NL" w:eastAsia="nl-NL" w:bidi="ar-SA"/>
      </w:rPr>
    </w:rPrDefault>
    <w:pPrDefault>
      <w:pPr>
        <w:tabs>
          <w:tab w:val="left" w:pos="907"/>
        </w:tab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widowControl w:val="0"/>
      <w:numPr>
        <w:numId w:val="4"/>
      </w:numPr>
      <w:spacing w:after="240"/>
      <w:outlineLvl w:val="0"/>
    </w:pPr>
    <w:rPr>
      <w:b/>
      <w:caps/>
      <w:spacing w:val="80"/>
      <w:sz w:val="24"/>
    </w:rPr>
  </w:style>
  <w:style w:type="paragraph" w:styleId="Kop2">
    <w:name w:val="heading 2"/>
    <w:basedOn w:val="Standaard"/>
    <w:next w:val="Standaard"/>
    <w:uiPriority w:val="9"/>
    <w:unhideWhenUsed/>
    <w:qFormat/>
    <w:pPr>
      <w:keepNext/>
      <w:numPr>
        <w:ilvl w:val="1"/>
        <w:numId w:val="5"/>
      </w:numPr>
      <w:spacing w:after="180"/>
      <w:outlineLvl w:val="1"/>
    </w:pPr>
    <w:rPr>
      <w:b/>
      <w:caps/>
      <w:spacing w:val="60"/>
      <w:sz w:val="20"/>
    </w:rPr>
  </w:style>
  <w:style w:type="paragraph" w:styleId="Kop3">
    <w:name w:val="heading 3"/>
    <w:basedOn w:val="Standaard"/>
    <w:next w:val="Standaard"/>
    <w:uiPriority w:val="9"/>
    <w:semiHidden/>
    <w:unhideWhenUsed/>
    <w:qFormat/>
    <w:pPr>
      <w:keepNext/>
      <w:numPr>
        <w:ilvl w:val="2"/>
        <w:numId w:val="6"/>
      </w:numPr>
      <w:spacing w:after="120"/>
      <w:outlineLvl w:val="2"/>
    </w:pPr>
    <w:rPr>
      <w:b/>
      <w:i/>
      <w:spacing w:val="40"/>
    </w:rPr>
  </w:style>
  <w:style w:type="paragraph" w:styleId="Kop4">
    <w:name w:val="heading 4"/>
    <w:basedOn w:val="Standaard"/>
    <w:next w:val="Standaard"/>
    <w:uiPriority w:val="9"/>
    <w:semiHidden/>
    <w:unhideWhenUsed/>
    <w:qFormat/>
    <w:pPr>
      <w:keepNext/>
      <w:spacing w:after="60"/>
      <w:outlineLvl w:val="3"/>
    </w:pPr>
    <w:rPr>
      <w:b/>
    </w:rPr>
  </w:style>
  <w:style w:type="paragraph" w:styleId="Kop5">
    <w:name w:val="heading 5"/>
    <w:basedOn w:val="Standaard"/>
    <w:next w:val="Standaard"/>
    <w:uiPriority w:val="9"/>
    <w:semiHidden/>
    <w:unhideWhenUsed/>
    <w:qFormat/>
    <w:pPr>
      <w:keepNext/>
      <w:outlineLvl w:val="4"/>
    </w:pPr>
    <w:rPr>
      <w:i/>
    </w:rPr>
  </w:style>
  <w:style w:type="paragraph" w:styleId="Kop6">
    <w:name w:val="heading 6"/>
    <w:basedOn w:val="Standaard"/>
    <w:next w:val="Standaard"/>
    <w:uiPriority w:val="9"/>
    <w:semiHidden/>
    <w:unhideWhenUsed/>
    <w:qFormat/>
    <w:pPr>
      <w:keepNext/>
      <w:widowControl w:val="0"/>
      <w:outlineLvl w:val="5"/>
    </w:pPr>
    <w:rPr>
      <w:snapToGrid w:val="0"/>
    </w:rPr>
  </w:style>
  <w:style w:type="paragraph" w:styleId="Kop7">
    <w:name w:val="heading 7"/>
    <w:basedOn w:val="Standaard"/>
    <w:next w:val="Standaard"/>
    <w:qFormat/>
    <w:pPr>
      <w:keepNext/>
      <w:widowControl w:val="0"/>
      <w:outlineLvl w:val="6"/>
    </w:pPr>
    <w:rPr>
      <w:snapToGrid w:val="0"/>
    </w:rPr>
  </w:style>
  <w:style w:type="paragraph" w:styleId="Kop8">
    <w:name w:val="heading 8"/>
    <w:basedOn w:val="Standaard"/>
    <w:next w:val="Standaard"/>
    <w:qFormat/>
    <w:pPr>
      <w:keepNext/>
      <w:widowControl w:val="0"/>
      <w:outlineLvl w:val="7"/>
    </w:pPr>
    <w:rPr>
      <w:snapToGrid w:val="0"/>
    </w:rPr>
  </w:style>
  <w:style w:type="paragraph" w:styleId="Kop9">
    <w:name w:val="heading 9"/>
    <w:basedOn w:val="Standaard"/>
    <w:next w:val="Standaard"/>
    <w:qFormat/>
    <w:pPr>
      <w:keepNext/>
      <w:widowControl w:val="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Koptekst">
    <w:name w:val="header"/>
    <w:basedOn w:val="Standaard"/>
    <w:pPr>
      <w:pBdr>
        <w:bottom w:val="single" w:sz="4" w:space="1" w:color="auto"/>
      </w:pBdr>
      <w:tabs>
        <w:tab w:val="center" w:pos="4253"/>
        <w:tab w:val="right" w:pos="8505"/>
      </w:tabs>
    </w:pPr>
    <w:rPr>
      <w:i/>
      <w:sz w:val="16"/>
    </w:rPr>
  </w:style>
  <w:style w:type="paragraph" w:styleId="Voettekst">
    <w:name w:val="footer"/>
    <w:basedOn w:val="Standaard"/>
    <w:pPr>
      <w:pBdr>
        <w:top w:val="single" w:sz="4" w:space="1" w:color="auto"/>
      </w:pBdr>
      <w:tabs>
        <w:tab w:val="clear" w:pos="907"/>
        <w:tab w:val="center" w:pos="4253"/>
        <w:tab w:val="right" w:pos="8505"/>
      </w:tabs>
    </w:pPr>
    <w:rPr>
      <w:i/>
      <w:sz w:val="16"/>
    </w:rPr>
  </w:style>
  <w:style w:type="character" w:styleId="Paginanummer">
    <w:name w:val="page number"/>
    <w:basedOn w:val="Standaardalinea-lettertype"/>
    <w:rPr>
      <w:rFonts w:ascii="Verdana" w:hAnsi="Verdana"/>
      <w:i/>
      <w:sz w:val="16"/>
    </w:rPr>
  </w:style>
  <w:style w:type="paragraph" w:customStyle="1" w:styleId="Titel1">
    <w:name w:val="Titel 1"/>
    <w:basedOn w:val="Kop1"/>
    <w:next w:val="Standaard"/>
    <w:pPr>
      <w:numPr>
        <w:numId w:val="0"/>
      </w:numPr>
    </w:pPr>
  </w:style>
  <w:style w:type="paragraph" w:styleId="Lijstopsomteken">
    <w:name w:val="List Bullet"/>
    <w:basedOn w:val="Standaard"/>
    <w:pPr>
      <w:tabs>
        <w:tab w:val="clear" w:pos="907"/>
      </w:tabs>
    </w:pPr>
  </w:style>
  <w:style w:type="paragraph" w:styleId="Lijstnummering">
    <w:name w:val="List Number"/>
    <w:basedOn w:val="Standaard"/>
    <w:pPr>
      <w:numPr>
        <w:numId w:val="7"/>
      </w:numPr>
      <w:tabs>
        <w:tab w:val="clear" w:pos="720"/>
        <w:tab w:val="clear" w:pos="907"/>
      </w:tabs>
      <w:ind w:left="357" w:hanging="357"/>
    </w:pPr>
  </w:style>
  <w:style w:type="paragraph" w:styleId="Lijstnummering2">
    <w:name w:val="List Number 2"/>
    <w:basedOn w:val="Standaard"/>
    <w:pPr>
      <w:tabs>
        <w:tab w:val="clear" w:pos="907"/>
      </w:tabs>
      <w:ind w:left="357" w:hanging="357"/>
    </w:pPr>
  </w:style>
  <w:style w:type="paragraph" w:styleId="Lijstnummering3">
    <w:name w:val="List Number 3"/>
    <w:basedOn w:val="Standaard"/>
    <w:pPr>
      <w:tabs>
        <w:tab w:val="clear" w:pos="907"/>
      </w:tabs>
      <w:ind w:left="357" w:hanging="357"/>
    </w:pPr>
    <w:rPr>
      <w:b/>
    </w:rPr>
  </w:style>
  <w:style w:type="paragraph" w:styleId="Lijstvoortzetting">
    <w:name w:val="List Continue"/>
    <w:basedOn w:val="Lijstnummering3"/>
    <w:next w:val="Standaard"/>
    <w:pPr>
      <w:ind w:firstLine="0"/>
    </w:pPr>
    <w:rPr>
      <w:b w:val="0"/>
    </w:rPr>
  </w:style>
  <w:style w:type="paragraph" w:customStyle="1" w:styleId="Tabelkop1">
    <w:name w:val="Tabelkop 1"/>
    <w:basedOn w:val="Standaard"/>
    <w:next w:val="Standaard"/>
    <w:pPr>
      <w:spacing w:before="40"/>
    </w:pPr>
    <w:rPr>
      <w:b/>
      <w:caps/>
      <w:spacing w:val="40"/>
      <w:sz w:val="16"/>
    </w:rPr>
  </w:style>
  <w:style w:type="paragraph" w:customStyle="1" w:styleId="Tabelkop2">
    <w:name w:val="Tabelkop 2"/>
    <w:basedOn w:val="Standaard"/>
    <w:pPr>
      <w:spacing w:before="40"/>
    </w:pPr>
    <w:rPr>
      <w:b/>
      <w:caps/>
      <w:spacing w:val="20"/>
      <w:sz w:val="13"/>
    </w:rPr>
  </w:style>
  <w:style w:type="paragraph" w:customStyle="1" w:styleId="Titel2">
    <w:name w:val="Titel 2"/>
    <w:basedOn w:val="Kop2"/>
    <w:next w:val="Standaard"/>
    <w:pPr>
      <w:numPr>
        <w:ilvl w:val="0"/>
        <w:numId w:val="0"/>
      </w:numPr>
    </w:pPr>
  </w:style>
  <w:style w:type="paragraph" w:customStyle="1" w:styleId="Titel3">
    <w:name w:val="Titel 3"/>
    <w:basedOn w:val="Kop3"/>
    <w:next w:val="Standaard"/>
    <w:pPr>
      <w:numPr>
        <w:ilvl w:val="0"/>
        <w:numId w:val="0"/>
      </w:numPr>
    </w:pPr>
  </w:style>
  <w:style w:type="character" w:styleId="Voetnootmarkering">
    <w:name w:val="footnote reference"/>
    <w:basedOn w:val="Standaardalinea-lettertype"/>
    <w:semiHidden/>
    <w:rPr>
      <w:rFonts w:ascii="Verdana" w:hAnsi="Verdana"/>
      <w:vertAlign w:val="superscript"/>
    </w:rPr>
  </w:style>
  <w:style w:type="paragraph" w:styleId="Voetnoottekst">
    <w:name w:val="footnote text"/>
    <w:basedOn w:val="Standaard"/>
    <w:semiHidden/>
    <w:pPr>
      <w:tabs>
        <w:tab w:val="left" w:pos="142"/>
      </w:tabs>
      <w:ind w:left="142" w:hanging="142"/>
    </w:pPr>
    <w:rPr>
      <w:sz w:val="16"/>
    </w:rPr>
  </w:style>
  <w:style w:type="paragraph" w:styleId="Lijstnummering4">
    <w:name w:val="List Number 4"/>
    <w:basedOn w:val="Lijstnummering3"/>
    <w:next w:val="Lijstvoortzetting"/>
  </w:style>
  <w:style w:type="paragraph" w:customStyle="1" w:styleId="Kopbijlage">
    <w:name w:val="Kop bijlage"/>
    <w:basedOn w:val="Kop1"/>
    <w:next w:val="Standaard"/>
    <w:pPr>
      <w:numPr>
        <w:numId w:val="0"/>
      </w:numPr>
      <w:tabs>
        <w:tab w:val="right" w:pos="8505"/>
      </w:tabs>
    </w:pPr>
  </w:style>
  <w:style w:type="paragraph" w:styleId="Ballontekst">
    <w:name w:val="Balloon Text"/>
    <w:basedOn w:val="Standaard"/>
    <w:link w:val="BallontekstChar"/>
    <w:uiPriority w:val="99"/>
    <w:semiHidden/>
    <w:unhideWhenUsed/>
    <w:rsid w:val="00003CCF"/>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CCF"/>
    <w:rPr>
      <w:rFonts w:ascii="Tahoma" w:hAnsi="Tahoma" w:cs="Tahoma"/>
      <w:sz w:val="16"/>
      <w:szCs w:val="16"/>
    </w:rPr>
  </w:style>
  <w:style w:type="character" w:styleId="Hyperlink">
    <w:name w:val="Hyperlink"/>
    <w:basedOn w:val="Standaardalinea-lettertype"/>
    <w:uiPriority w:val="99"/>
    <w:unhideWhenUsed/>
    <w:rsid w:val="00CE5B1C"/>
    <w:rPr>
      <w:color w:val="0000FF" w:themeColor="hyperlink"/>
      <w:u w:val="single"/>
    </w:rPr>
  </w:style>
  <w:style w:type="paragraph" w:styleId="Lijstalinea">
    <w:name w:val="List Paragraph"/>
    <w:basedOn w:val="Standaard"/>
    <w:uiPriority w:val="34"/>
    <w:qFormat/>
    <w:rsid w:val="00754039"/>
    <w:pPr>
      <w:ind w:left="720"/>
      <w:contextualSpacing/>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ilieuplatformzorg.nl/duurzaam-inkope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ZozBqJzmknF95H1ILQGRTmSO+Ow==">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FC31FF76EB96914B9FDB055D1D7EC1F1" ma:contentTypeVersion="18" ma:contentTypeDescription="Een nieuw document maken." ma:contentTypeScope="" ma:versionID="bf9043ddf1edcc2f3c35a7fe264050d7">
  <xsd:schema xmlns:xsd="http://www.w3.org/2001/XMLSchema" xmlns:xs="http://www.w3.org/2001/XMLSchema" xmlns:p="http://schemas.microsoft.com/office/2006/metadata/properties" xmlns:ns2="7ddfc4a7-2327-4f2d-b29d-dda666fbba38" xmlns:ns3="45b0fde6-3671-446b-8026-4c0d418a39e7" targetNamespace="http://schemas.microsoft.com/office/2006/metadata/properties" ma:root="true" ma:fieldsID="b55e246e438da25b9b5dc9a07ee65602" ns2:_="" ns3:_="">
    <xsd:import namespace="7ddfc4a7-2327-4f2d-b29d-dda666fbba38"/>
    <xsd:import namespace="45b0fde6-3671-446b-8026-4c0d418a39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fc4a7-2327-4f2d-b29d-dda666fbba3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0ca94e-3c10-4710-8f5a-bcf85d946662}" ma:internalName="TaxCatchAll" ma:showField="CatchAllData" ma:web="7ddfc4a7-2327-4f2d-b29d-dda666fbba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0fde6-3671-446b-8026-4c0d418a39e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f267c90d-14ff-4ce5-b3f0-f18f151e17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dfc4a7-2327-4f2d-b29d-dda666fbba38" xsi:nil="true"/>
    <lcf76f155ced4ddcb4097134ff3c332f xmlns="45b0fde6-3671-446b-8026-4c0d418a39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E093BDA-722C-4AB7-B76D-91A2113825A6}"/>
</file>

<file path=customXml/itemProps3.xml><?xml version="1.0" encoding="utf-8"?>
<ds:datastoreItem xmlns:ds="http://schemas.openxmlformats.org/officeDocument/2006/customXml" ds:itemID="{853FEBB8-A7BB-47FC-B55A-705AD7A8B0C4}"/>
</file>

<file path=customXml/itemProps4.xml><?xml version="1.0" encoding="utf-8"?>
<ds:datastoreItem xmlns:ds="http://schemas.openxmlformats.org/officeDocument/2006/customXml" ds:itemID="{EC5DD2EA-9102-4E27-9525-D959F90AA80A}"/>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2702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Stichting Stimular</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Marjon Olijdam (Stimular)</dc:creator>
  <cp:lastModifiedBy>Judith de Bree (Stimular)</cp:lastModifiedBy>
  <cp:revision>3</cp:revision>
  <dcterms:created xsi:type="dcterms:W3CDTF">2023-07-06T14:11:00Z</dcterms:created>
  <dcterms:modified xsi:type="dcterms:W3CDTF">2023-07-06T14:14:00Z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0x010100FC31FF76EB96914B9FDB055D1D7EC1F1</vt:lpwstr>
  </property>
  <property fmtid="{D5CDD505-2E9C-101B-9397-08002B2CF9AE}" pid="3" name="Order">
    <vt:r8>413200</vt:r8>
  </property>
  <property fmtid="{D5CDD505-2E9C-101B-9397-08002B2CF9AE}" pid="4" name="MediaServiceImageTags">
    <vt:lpwstr/>
  </property>
</Properties>
</file>